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C473C" w14:textId="6366308C" w:rsidR="00E63077" w:rsidRPr="00E63077" w:rsidRDefault="00E63077" w:rsidP="00E63077">
      <w:pPr>
        <w:shd w:val="clear" w:color="auto" w:fill="FFFFFF"/>
        <w:outlineLvl w:val="1"/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Слайд 1. Титульный лист</w:t>
      </w:r>
    </w:p>
    <w:p w14:paraId="7D5589AE" w14:textId="77777777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i/>
          <w:iCs/>
          <w:color w:val="0F1115"/>
          <w:kern w:val="0"/>
          <w:szCs w:val="28"/>
          <w:lang w:val="ru-DE"/>
          <w14:ligatures w14:val="none"/>
        </w:rPr>
        <w:t>[Смотрим на слайд, затем на комиссию]</w:t>
      </w:r>
    </w:p>
    <w:p w14:paraId="16004D23" w14:textId="28CFE1FB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ab/>
      </w:r>
      <w:r w:rsidR="00981343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Добрый день, уважаемый председатель и у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важаемые члены комиссии! Вашему вниманию представляется выпускная квалификационная работа на тему: «Управление расчетами с покупателями (дебиторами) в бизнесе». </w:t>
      </w:r>
    </w:p>
    <w:p w14:paraId="4CA63E19" w14:textId="77777777" w:rsidR="00E63077" w:rsidRPr="00E63077" w:rsidRDefault="00E63077" w:rsidP="00E63077">
      <w:pPr>
        <w:shd w:val="clear" w:color="auto" w:fill="FFFFFF"/>
        <w:outlineLvl w:val="1"/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Слайд 2. Актуальность исследования</w:t>
      </w:r>
    </w:p>
    <w:p w14:paraId="4486CFB9" w14:textId="586A4B92" w:rsidR="00981343" w:rsidRPr="000C70D6" w:rsidRDefault="00E63077" w:rsidP="000C70D6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ab/>
        <w:t>Тема работы является крайне актуальной для современных российских предприятий. Сегодня мы живём в условиях экономической нестабильности: высокие процентные ставки, инфляция, ужесточение банковского кредитования.</w:t>
      </w:r>
      <w:r w:rsidR="00981343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С одной стороны,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дебиторская задолженность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— это инструмент, который позволяет позволяет стимулировать продажи, предоставляя покупателям отсрочки платежа.</w:t>
      </w:r>
      <w:r w:rsidR="00981343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Но с другой стороны, она создаёт серьёзные риски: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отвлечение оборотных средств, снижение ликвидности, кассовые разрывы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.Особенно остро эта проблема стоит в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оптовой торговле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.</w:t>
      </w:r>
    </w:p>
    <w:p w14:paraId="4D495E7D" w14:textId="2A5977D6" w:rsidR="00E63077" w:rsidRPr="00E63077" w:rsidRDefault="00E63077" w:rsidP="00E63077">
      <w:pPr>
        <w:shd w:val="clear" w:color="auto" w:fill="FFFFFF"/>
        <w:outlineLvl w:val="1"/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 xml:space="preserve">Слайд </w:t>
      </w:r>
      <w:r w:rsidR="00981343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3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. Краткая характеристика ООО «ИЛС»</w:t>
      </w:r>
    </w:p>
    <w:p w14:paraId="7A4AF73E" w14:textId="00E1FFA7" w:rsidR="00E63077" w:rsidRPr="00E63077" w:rsidRDefault="00981343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ab/>
        <w:t xml:space="preserve">Дадим кратную характеристику общества с ограниченной ответсвенностью Ист Лоджистикал Системс. 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Это </w:t>
      </w:r>
      <w:r w:rsidR="00E63077"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 xml:space="preserve">крупный игрок на рынке оптовой </w:t>
      </w:r>
      <w:r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торговли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товаров повседневного спроса.</w:t>
      </w:r>
      <w:r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Компания является </w:t>
      </w:r>
      <w:r w:rsidR="00E63077"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официальным дистрибьютором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международных брендов: </w:t>
      </w:r>
      <w:r w:rsidR="00E63077"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Nestle, Purina, Jacobs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.</w:t>
      </w:r>
      <w:r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И в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ходит в группу компаний «Эй-Пи Трейд»</w:t>
      </w:r>
      <w:r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, филиалы и рапределительные склады, которой р</w:t>
      </w:r>
      <w:r w:rsidR="00B172DC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асположились на территории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от Дальнего Востока до Урала.</w:t>
      </w:r>
      <w:r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br/>
      </w:r>
      <w:r w:rsidR="00B172DC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 xml:space="preserve">Численность работников </w:t>
      </w:r>
      <w:r w:rsidR="00B172DC">
        <w:rPr>
          <w:rFonts w:ascii="Segoe UI" w:eastAsia="Times New Roman" w:hAnsi="Segoe UI" w:cs="Segoe UI"/>
          <w:color w:val="0F1115"/>
          <w:kern w:val="0"/>
          <w:szCs w:val="28"/>
          <w14:ligatures w14:val="none"/>
        </w:rPr>
        <w:t>компании насчитывает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около 1000 человек</w:t>
      </w:r>
      <w:r w:rsidR="00B172DC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, а так же 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245 единиц автотранспорта.</w:t>
      </w:r>
      <w:r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</w:t>
      </w:r>
      <w:r w:rsidR="000C70D6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В компании используется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умеренная</w:t>
      </w:r>
      <w:r w:rsidR="000C70D6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кредитная политика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.</w:t>
      </w:r>
      <w:r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Так же стоит заметить, что компания активно работает с долгами контерагентов. С момента образования ООО “ИЛС”, было выставлено 686 судебных исков, в</w:t>
      </w:r>
      <w:r w:rsidR="00F97C7B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</w:t>
      </w:r>
      <w:r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основном по 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взысканию дебиторской задолженности. </w:t>
      </w:r>
    </w:p>
    <w:p w14:paraId="15725C50" w14:textId="77777777" w:rsidR="000C70D6" w:rsidRDefault="000C70D6" w:rsidP="00E63077">
      <w:pPr>
        <w:shd w:val="clear" w:color="auto" w:fill="FFFFFF"/>
        <w:outlineLvl w:val="1"/>
        <w:rPr>
          <w:rFonts w:ascii="Segoe UI" w:eastAsia="Times New Roman" w:hAnsi="Segoe UI" w:cs="Segoe UI"/>
          <w:i/>
          <w:iCs/>
          <w:color w:val="0F1115"/>
          <w:kern w:val="0"/>
          <w:szCs w:val="28"/>
          <w:lang w:val="ru-DE"/>
          <w14:ligatures w14:val="none"/>
        </w:rPr>
      </w:pPr>
    </w:p>
    <w:p w14:paraId="79AF5CBD" w14:textId="7CB62D83" w:rsidR="00E63077" w:rsidRPr="00E63077" w:rsidRDefault="00E63077" w:rsidP="00E63077">
      <w:pPr>
        <w:shd w:val="clear" w:color="auto" w:fill="FFFFFF"/>
        <w:outlineLvl w:val="1"/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lastRenderedPageBreak/>
        <w:t xml:space="preserve">Слайд </w:t>
      </w:r>
      <w:r w:rsidR="006A10C6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4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. Ключевая проблема — дисбаланс ДЗ и КЗ</w:t>
      </w:r>
    </w:p>
    <w:p w14:paraId="5785BE1D" w14:textId="0871293E" w:rsidR="00E63077" w:rsidRPr="00E63077" w:rsidRDefault="000C70D6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ab/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Теперь переходим к главной проблеме, которую мы выявили в ходе анализа.</w:t>
      </w:r>
    </w:p>
    <w:p w14:paraId="40DB3753" w14:textId="77777777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Посмотрите на цифры. За три года, с 2022 по 2024:</w:t>
      </w:r>
    </w:p>
    <w:p w14:paraId="34E64E5C" w14:textId="63F2072D" w:rsidR="00E63077" w:rsidRPr="00E63077" w:rsidRDefault="00E63077" w:rsidP="00E63077">
      <w:pPr>
        <w:numPr>
          <w:ilvl w:val="0"/>
          <w:numId w:val="3"/>
        </w:num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Дебиторская задолженность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 выросла </w:t>
      </w:r>
      <w:r w:rsidR="006A10C6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на более чем 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20</w:t>
      </w:r>
      <w:r w:rsidR="006A10C6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%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и достигла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2 миллиардов 116 миллионов рублей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.</w:t>
      </w:r>
    </w:p>
    <w:p w14:paraId="0258E5C9" w14:textId="49D51A07" w:rsidR="00E63077" w:rsidRPr="00E63077" w:rsidRDefault="00E63077" w:rsidP="00E63077">
      <w:pPr>
        <w:numPr>
          <w:ilvl w:val="0"/>
          <w:numId w:val="3"/>
        </w:num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А вот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кредиторская задолженность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выросла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гораздо быстрее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— на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7</w:t>
      </w:r>
      <w:r w:rsidR="006A10C6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1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%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и составила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3 миллиарда 712 миллионов рублей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.</w:t>
      </w:r>
    </w:p>
    <w:p w14:paraId="215E1432" w14:textId="7742D54F" w:rsidR="00E63077" w:rsidRPr="00E63077" w:rsidRDefault="006A10C6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Это означает, что </w:t>
      </w:r>
      <w:r w:rsidR="00E63077"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Превышение кредиторской задолженности над дебиторской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выросло с 417 миллионов рублей в 2022 году до </w:t>
      </w:r>
      <w:r w:rsidR="00E63077"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1 миллиарда 596 миллионов рублей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в 2024 году.</w:t>
      </w:r>
      <w:r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Коэффициент соотношения </w:t>
      </w:r>
      <w:r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д</w:t>
      </w:r>
      <w:r w:rsidRPr="006A10C6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ебиторск</w:t>
      </w:r>
      <w:r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ой</w:t>
      </w:r>
      <w:r w:rsidRPr="006A10C6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задолженност</w:t>
      </w:r>
      <w:r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и</w:t>
      </w:r>
      <w:r w:rsidRPr="006A10C6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к </w:t>
      </w:r>
      <w:r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кредиторской задолженности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снизился с 0,81 до </w:t>
      </w:r>
      <w:r w:rsidR="00E63077"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0,57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, тогда как норма </w:t>
      </w:r>
      <w:r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составляет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около 0,9–1,0.</w:t>
      </w:r>
    </w:p>
    <w:p w14:paraId="05E6F4CB" w14:textId="2982A572" w:rsidR="00E63077" w:rsidRPr="00E63077" w:rsidRDefault="000C70D6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ab/>
        <w:t>Из этого мы можем сделать вывол, что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предприятие финансирует свою деятельность в значительной степени за счёт отсрочек от поставщиков, но не обеспечивает эти обязательства адекватными поступлениями от покупателей.</w:t>
      </w:r>
    </w:p>
    <w:p w14:paraId="0849D5E2" w14:textId="77777777" w:rsidR="00E63077" w:rsidRPr="00E63077" w:rsidRDefault="008029B4" w:rsidP="00E63077">
      <w:pPr>
        <w:rPr>
          <w:rFonts w:ascii="Segoe UI" w:eastAsia="Times New Roman" w:hAnsi="Segoe UI" w:cs="Segoe UI"/>
          <w:color w:val="auto"/>
          <w:kern w:val="0"/>
          <w:szCs w:val="28"/>
          <w:lang w:val="ru-DE"/>
          <w14:ligatures w14:val="none"/>
        </w:rPr>
      </w:pPr>
      <w:r w:rsidRPr="008029B4">
        <w:rPr>
          <w:rFonts w:eastAsia="Times New Roman" w:cs="Times New Roman"/>
          <w:noProof/>
          <w:color w:val="auto"/>
          <w:kern w:val="0"/>
          <w:szCs w:val="28"/>
          <w:lang w:val="ru-DE"/>
        </w:rPr>
        <w:pict w14:anchorId="62671772">
          <v:rect id="_x0000_i1030" alt="" style="width:451.3pt;height:.05pt;mso-width-percent:0;mso-height-percent:0;mso-width-percent:0;mso-height-percent:0" o:hralign="center" o:hrstd="t" o:hr="t" fillcolor="#a0a0a0" stroked="f"/>
        </w:pict>
      </w:r>
    </w:p>
    <w:p w14:paraId="139EF32E" w14:textId="77777777" w:rsidR="00E63077" w:rsidRPr="00E63077" w:rsidRDefault="00E63077" w:rsidP="00E63077">
      <w:pPr>
        <w:shd w:val="clear" w:color="auto" w:fill="FFFFFF"/>
        <w:outlineLvl w:val="1"/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Слайд 7. Кризис ликвидности</w:t>
      </w:r>
    </w:p>
    <w:p w14:paraId="53E3E867" w14:textId="5F4C266D" w:rsidR="00E63077" w:rsidRPr="00E63077" w:rsidRDefault="000C70D6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ab/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Этот дисбаланс привёл к </w:t>
      </w:r>
      <w:r w:rsidR="00E63077"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кризису ликвидности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.</w:t>
      </w:r>
    </w:p>
    <w:p w14:paraId="69579633" w14:textId="77777777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Посмотрите на коэффициенты. Все они —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ниже нормативных значений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.</w:t>
      </w:r>
    </w:p>
    <w:p w14:paraId="602A1A1C" w14:textId="3A056856" w:rsidR="00E63077" w:rsidRPr="00E63077" w:rsidRDefault="00E63077" w:rsidP="00E63077">
      <w:pPr>
        <w:numPr>
          <w:ilvl w:val="0"/>
          <w:numId w:val="4"/>
        </w:num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Коэффициент абсолютной ликвидности</w:t>
      </w:r>
      <w:r w:rsidR="00F97C7B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 xml:space="preserve"> </w:t>
      </w:r>
      <w:r w:rsidR="00F97C7B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указывает на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, что компания может немедленно погасить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только 11%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текущих обязательств.</w:t>
      </w:r>
    </w:p>
    <w:p w14:paraId="4A38A07A" w14:textId="7C80787D" w:rsidR="00E63077" w:rsidRPr="00E63077" w:rsidRDefault="00E63077" w:rsidP="00E63077">
      <w:pPr>
        <w:numPr>
          <w:ilvl w:val="0"/>
          <w:numId w:val="4"/>
        </w:num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Коэффициент срочной ликвидности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 — 0,54 </w:t>
      </w:r>
    </w:p>
    <w:p w14:paraId="79714F45" w14:textId="2EE29AF2" w:rsidR="00E63077" w:rsidRPr="00E63077" w:rsidRDefault="00E63077" w:rsidP="00E63077">
      <w:pPr>
        <w:numPr>
          <w:ilvl w:val="0"/>
          <w:numId w:val="4"/>
        </w:num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Коэффициент текущей ликвидности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— 1,15.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br/>
        <w:t>Он вплотную приблизился к критической отметке 1,0.</w:t>
      </w:r>
    </w:p>
    <w:p w14:paraId="0AFAF9F0" w14:textId="77777777" w:rsidR="00E63077" w:rsidRPr="00E63077" w:rsidRDefault="00E63077" w:rsidP="00E63077">
      <w:pPr>
        <w:numPr>
          <w:ilvl w:val="0"/>
          <w:numId w:val="4"/>
        </w:num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Коэффициент общей платёжеспособности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— 1,17, что формально выше 1, но не достигает оптимальных значений.</w:t>
      </w:r>
    </w:p>
    <w:p w14:paraId="59532701" w14:textId="53259230" w:rsidR="00E63077" w:rsidRPr="00E63077" w:rsidRDefault="006A10C6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lastRenderedPageBreak/>
        <w:t>Мы можем сделать вывод, что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если все кредиторы одновременно потребуют погашения долгов, у предприятия возникнут серьёзные проблемы.</w:t>
      </w:r>
    </w:p>
    <w:p w14:paraId="7F4374A2" w14:textId="77777777" w:rsidR="00E63077" w:rsidRPr="00E63077" w:rsidRDefault="008029B4" w:rsidP="00E63077">
      <w:pPr>
        <w:rPr>
          <w:rFonts w:ascii="Segoe UI" w:eastAsia="Times New Roman" w:hAnsi="Segoe UI" w:cs="Segoe UI"/>
          <w:color w:val="auto"/>
          <w:kern w:val="0"/>
          <w:szCs w:val="28"/>
          <w:lang w:val="ru-DE"/>
          <w14:ligatures w14:val="none"/>
        </w:rPr>
      </w:pPr>
      <w:r w:rsidRPr="008029B4">
        <w:rPr>
          <w:rFonts w:eastAsia="Times New Roman" w:cs="Times New Roman"/>
          <w:noProof/>
          <w:color w:val="auto"/>
          <w:kern w:val="0"/>
          <w:szCs w:val="28"/>
          <w:lang w:val="ru-DE"/>
        </w:rPr>
        <w:pict w14:anchorId="62750AA1">
          <v:rect id="_x0000_i1029" alt="" style="width:451.3pt;height:.05pt;mso-width-percent:0;mso-height-percent:0;mso-width-percent:0;mso-height-percent:0" o:hralign="center" o:hrstd="t" o:hr="t" fillcolor="#a0a0a0" stroked="f"/>
        </w:pict>
      </w:r>
    </w:p>
    <w:p w14:paraId="59DE5DCA" w14:textId="77777777" w:rsidR="00E63077" w:rsidRPr="00E63077" w:rsidRDefault="00E63077" w:rsidP="00E63077">
      <w:pPr>
        <w:shd w:val="clear" w:color="auto" w:fill="FFFFFF"/>
        <w:outlineLvl w:val="1"/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Слайд 8. Разрыв в оборачиваемости — главный источник риска</w:t>
      </w:r>
    </w:p>
    <w:p w14:paraId="42C100A6" w14:textId="4D3F651E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Почему же возникает кассовый разрыв? Ответ </w:t>
      </w:r>
      <w:r w:rsidR="00F97C7B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вы видите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на этом слайде.</w:t>
      </w:r>
    </w:p>
    <w:p w14:paraId="0142BA39" w14:textId="77777777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Мы рассчитали периоды оборота.</w:t>
      </w:r>
    </w:p>
    <w:p w14:paraId="77EECEFB" w14:textId="77777777" w:rsidR="00E63077" w:rsidRPr="00E63077" w:rsidRDefault="00E63077" w:rsidP="00E63077">
      <w:pPr>
        <w:numPr>
          <w:ilvl w:val="0"/>
          <w:numId w:val="5"/>
        </w:num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Период оборота дебиторской задолженности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— 39,7 дня. Это среднее время, за которое покупатели возвращают деньги.</w:t>
      </w:r>
    </w:p>
    <w:p w14:paraId="1F876ED2" w14:textId="77777777" w:rsidR="00E63077" w:rsidRPr="00E63077" w:rsidRDefault="00E63077" w:rsidP="00E63077">
      <w:pPr>
        <w:numPr>
          <w:ilvl w:val="0"/>
          <w:numId w:val="5"/>
        </w:num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Период оборота кредиторской задолженности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— 52,5 дня. Это среднее время, за которое компания платит поставщикам.</w:t>
      </w:r>
    </w:p>
    <w:p w14:paraId="29B32211" w14:textId="77777777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Разрыв составляет 12,8 дня.</w:t>
      </w:r>
    </w:p>
    <w:p w14:paraId="582EAD5B" w14:textId="77777777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Что это означает на практике?</w:t>
      </w:r>
    </w:p>
    <w:p w14:paraId="11BD6B55" w14:textId="2D9AF20C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Компания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платит поставщикам раньше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, чем получает деньги от покупателей.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br/>
        <w:t>Каждый день этого разрыва — это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платное финансирование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: предприятие вынуждено покрывать его за счёт</w:t>
      </w:r>
      <w:r w:rsidR="00F97C7B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банковских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кредитов.</w:t>
      </w:r>
    </w:p>
    <w:p w14:paraId="2ACB453E" w14:textId="77777777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Именно этим объясняется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низкая чистая рентабельность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— всего 1,16%, которую мы видели в начале.</w:t>
      </w:r>
    </w:p>
    <w:p w14:paraId="532C1930" w14:textId="04EE3E3B" w:rsidR="00E63077" w:rsidRPr="00E63077" w:rsidRDefault="00F97C7B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В конечном итоге,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без устранения этого разрыва компания остаётся заложником процентных ставок и рискует потерять платёжеспособность при любой задержке от крупного дебитора.</w:t>
      </w:r>
    </w:p>
    <w:p w14:paraId="70E79500" w14:textId="77777777" w:rsidR="00E63077" w:rsidRPr="00E63077" w:rsidRDefault="008029B4" w:rsidP="00E63077">
      <w:pPr>
        <w:rPr>
          <w:rFonts w:ascii="Segoe UI" w:eastAsia="Times New Roman" w:hAnsi="Segoe UI" w:cs="Segoe UI"/>
          <w:color w:val="auto"/>
          <w:kern w:val="0"/>
          <w:szCs w:val="28"/>
          <w:lang w:val="ru-DE"/>
          <w14:ligatures w14:val="none"/>
        </w:rPr>
      </w:pPr>
      <w:r w:rsidRPr="008029B4">
        <w:rPr>
          <w:rFonts w:eastAsia="Times New Roman" w:cs="Times New Roman"/>
          <w:noProof/>
          <w:color w:val="auto"/>
          <w:kern w:val="0"/>
          <w:szCs w:val="28"/>
          <w:lang w:val="ru-DE"/>
        </w:rPr>
        <w:pict w14:anchorId="3B36DADC">
          <v:rect id="_x0000_i1028" alt="" style="width:451.3pt;height:.05pt;mso-width-percent:0;mso-height-percent:0;mso-width-percent:0;mso-height-percent:0" o:hralign="center" o:hrstd="t" o:hr="t" fillcolor="#a0a0a0" stroked="f"/>
        </w:pict>
      </w:r>
    </w:p>
    <w:p w14:paraId="7F4C222C" w14:textId="77777777" w:rsidR="00E63077" w:rsidRPr="00E63077" w:rsidRDefault="00E63077" w:rsidP="00E63077">
      <w:pPr>
        <w:shd w:val="clear" w:color="auto" w:fill="FFFFFF"/>
        <w:outlineLvl w:val="1"/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Слайд 9. Три мероприятия по улучшению</w:t>
      </w:r>
    </w:p>
    <w:p w14:paraId="26C7F7E2" w14:textId="77777777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Для решения выявленных проблем мы предлагаем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три взаимодополняющих мероприятия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.</w:t>
      </w:r>
    </w:p>
    <w:p w14:paraId="607D635B" w14:textId="51B945BC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Первое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— внедрение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автоматизированной системы скоринга контрагентов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.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br/>
        <w:t>Это балльная оценка финансовой надёжности покупателей.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br/>
      </w:r>
      <w:r w:rsidR="00F97C7B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Она </w:t>
      </w:r>
      <w:r w:rsidR="00F97C7B" w:rsidRPr="00F97C7B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поможет снизить риски работы с ненадёжными покупателями и сократить долю просроченной дебиторской задолженности.</w:t>
      </w:r>
    </w:p>
    <w:p w14:paraId="6EE50674" w14:textId="77777777" w:rsidR="00F97C7B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lastRenderedPageBreak/>
        <w:t>Второе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— внедрение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системы скидок за раннюю оплату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(динамический дисконт).</w:t>
      </w:r>
    </w:p>
    <w:p w14:paraId="4559741F" w14:textId="7C79AF43" w:rsidR="00E63077" w:rsidRPr="00E63077" w:rsidRDefault="00F97C7B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F97C7B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Целью данного мероприятия является стимулирование покупателей к досрочному погашению задолженности.</w:t>
      </w:r>
      <w:r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Например, скидка 2–3% за оплату в течение 7–10 дней.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br/>
      </w:r>
      <w:r w:rsidR="00E63077"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Результат:</w:t>
      </w:r>
      <w:r w:rsidR="00E63077"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ускорение оборачиваемости дебиторской задолженности на 7–10 дней.</w:t>
      </w:r>
    </w:p>
    <w:p w14:paraId="13C8AFD7" w14:textId="2A10915F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Третье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— использование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факторинга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для рефинансирования дебиторской задолженности.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br/>
      </w:r>
      <w:r w:rsidR="0097428F" w:rsidRPr="0097428F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Факторинговая компания (банк) приобретает права требования к дебиторам ООО «ИЛС» и выплачивает до 90% суммы долга в течение 1–3 дней после отгрузки. Оставшиеся 10% выплачиваются за вычетом комиссии (3–5% от суммы) после оплаты долга дебитором.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br/>
      </w:r>
      <w:r w:rsidR="0097428F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Это поможет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покрыт</w:t>
      </w:r>
      <w:r w:rsidR="0097428F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ь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кассов</w:t>
      </w:r>
      <w:r w:rsidR="0097428F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ый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разры</w:t>
      </w:r>
      <w:r w:rsidR="0097428F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в и 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улу</w:t>
      </w:r>
      <w:r w:rsidR="0097428F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чшить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ликвидност</w:t>
      </w:r>
      <w:r w:rsidR="0097428F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ь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.</w:t>
      </w:r>
    </w:p>
    <w:p w14:paraId="6BEF1FB3" w14:textId="693F1618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Важно подчеркнуть: эти мероприятия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работают в комплексе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. Скоринг снижает риски на входе, скидки ускоряют оплату, а факторинг решает экстренные ситуации.</w:t>
      </w:r>
    </w:p>
    <w:p w14:paraId="4F9FFD94" w14:textId="77777777" w:rsidR="00E63077" w:rsidRPr="00E63077" w:rsidRDefault="008029B4" w:rsidP="00E63077">
      <w:pPr>
        <w:rPr>
          <w:rFonts w:ascii="Segoe UI" w:eastAsia="Times New Roman" w:hAnsi="Segoe UI" w:cs="Segoe UI"/>
          <w:color w:val="auto"/>
          <w:kern w:val="0"/>
          <w:szCs w:val="28"/>
          <w:lang w:val="ru-DE"/>
          <w14:ligatures w14:val="none"/>
        </w:rPr>
      </w:pPr>
      <w:r w:rsidRPr="008029B4">
        <w:rPr>
          <w:rFonts w:eastAsia="Times New Roman" w:cs="Times New Roman"/>
          <w:noProof/>
          <w:color w:val="auto"/>
          <w:kern w:val="0"/>
          <w:szCs w:val="28"/>
          <w:lang w:val="ru-DE"/>
        </w:rPr>
        <w:pict w14:anchorId="00C71F41">
          <v:rect id="_x0000_i1027" alt="" style="width:451.3pt;height:.05pt;mso-width-percent:0;mso-height-percent:0;mso-width-percent:0;mso-height-percent:0" o:hralign="center" o:hrstd="t" o:hr="t" fillcolor="#a0a0a0" stroked="f"/>
        </w:pict>
      </w:r>
    </w:p>
    <w:p w14:paraId="47CFF1A7" w14:textId="77777777" w:rsidR="00E63077" w:rsidRPr="00E63077" w:rsidRDefault="00E63077" w:rsidP="00E63077">
      <w:pPr>
        <w:shd w:val="clear" w:color="auto" w:fill="FFFFFF"/>
        <w:outlineLvl w:val="1"/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Слайд 10. Экономический эффект</w:t>
      </w:r>
    </w:p>
    <w:p w14:paraId="0F767A2C" w14:textId="77777777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Теперь — о главном. Что дадут эти мероприятия в цифрах?</w:t>
      </w:r>
    </w:p>
    <w:p w14:paraId="4F39B00B" w14:textId="138D1150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Период оборота дебиторской задолженности сократится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</w:t>
      </w:r>
      <w:r w:rsidR="0097428F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на 8,7 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дня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.</w:t>
      </w:r>
    </w:p>
    <w:p w14:paraId="73236977" w14:textId="77777777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За счёт этого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высвобождается около 434 миллионов рублей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из оборота.</w:t>
      </w:r>
    </w:p>
    <w:p w14:paraId="3091E168" w14:textId="3F7F9AF9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Коэффициент абсолютной ликвидности вырастет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</w:t>
      </w:r>
      <w:r w:rsidR="0097428F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на 12 единиц, а значит он 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 приблизится к норме.</w:t>
      </w:r>
    </w:p>
    <w:p w14:paraId="67813144" w14:textId="77777777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Дополнительная чистая прибыль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составит около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77 миллионов рублей в год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.</w:t>
      </w:r>
    </w:p>
    <w:p w14:paraId="624BD96A" w14:textId="77777777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lastRenderedPageBreak/>
        <w:t>При этом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затраты на внедрение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минимальны: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br/>
        <w:t>500 тысяч рублей — единоразово (настройка системы скоринга),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br/>
        <w:t>600 тысяч рублей — ежегодные операционные расходы.</w:t>
      </w:r>
    </w:p>
    <w:p w14:paraId="0011DE63" w14:textId="1D692657" w:rsidR="00E63077" w:rsidRPr="0097428F" w:rsidRDefault="00E63077" w:rsidP="0097428F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Затраты окупаются в течение первого же года.</w:t>
      </w:r>
      <w:r w:rsidR="008029B4" w:rsidRPr="008029B4">
        <w:rPr>
          <w:rFonts w:eastAsia="Times New Roman" w:cs="Times New Roman"/>
          <w:noProof/>
          <w:color w:val="auto"/>
          <w:kern w:val="0"/>
          <w:szCs w:val="28"/>
          <w:lang w:val="ru-DE"/>
        </w:rPr>
        <w:pict w14:anchorId="5EC31ED9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488D3C67" w14:textId="77777777" w:rsidR="00E63077" w:rsidRPr="00E63077" w:rsidRDefault="00E63077" w:rsidP="00E63077">
      <w:pPr>
        <w:shd w:val="clear" w:color="auto" w:fill="FFFFFF"/>
        <w:outlineLvl w:val="1"/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Слайд 11. Выводы</w:t>
      </w:r>
    </w:p>
    <w:p w14:paraId="6D531D59" w14:textId="77777777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Подведём итоги.</w:t>
      </w:r>
    </w:p>
    <w:p w14:paraId="2899D652" w14:textId="535C74DE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Первое.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 Теоретическая часть показала: дебиторская задолженность — это 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управляемый актив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. Цель</w:t>
      </w:r>
      <w:r w:rsidR="0097428F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 xml:space="preserve">ю которого является 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не устранение, а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оптимизация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баланса между ростом продаж и финансовыми рисками.</w:t>
      </w:r>
    </w:p>
    <w:p w14:paraId="30BFCC5A" w14:textId="77777777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Второе.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Анализ ООО «ИЛС» выявил: предприятие демонстрирует рост выручки, но находится в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кризисном состоянии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с точки зрения ликвидности. Главная угроза —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разрыв между оборачиваемостью дебиторской и кредиторской задолженности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.</w:t>
      </w:r>
    </w:p>
    <w:p w14:paraId="490F53E3" w14:textId="77777777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Третье.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Разработанные мероприятия —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скоринг, скидки за раннюю оплату, факторинг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— носят комплексный характер и направлены именно на устранение этого разрыва.</w:t>
      </w:r>
    </w:p>
    <w:p w14:paraId="6C121855" w14:textId="77777777" w:rsidR="00E63077" w:rsidRPr="00E63077" w:rsidRDefault="00E63077" w:rsidP="00E63077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Четвёртое.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Экономическая эффективность подтверждена расчётами: </w:t>
      </w: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высвобождение 434 миллионов рублей, дополнительная прибыль 77 миллионов рублей в год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.</w:t>
      </w:r>
    </w:p>
    <w:p w14:paraId="53ADD9A0" w14:textId="1D2C8FB0" w:rsidR="00E63077" w:rsidRPr="0097428F" w:rsidRDefault="00E63077" w:rsidP="0097428F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Всё это позволяет рекомендовать предложенные мероприятия к внедрению</w:t>
      </w:r>
      <w:r w:rsidRPr="00E63077"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  <w:t> не только в ООО «ИЛС», но и на аналогичных предприятиях оптовой торговли.</w:t>
      </w:r>
      <w:r w:rsidR="008029B4" w:rsidRPr="008029B4">
        <w:rPr>
          <w:rFonts w:eastAsia="Times New Roman" w:cs="Times New Roman"/>
          <w:noProof/>
          <w:color w:val="auto"/>
          <w:kern w:val="0"/>
          <w:szCs w:val="28"/>
          <w:lang w:val="ru-DE"/>
        </w:rPr>
        <w:pict w14:anchorId="1A240C3B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4F82B51A" w14:textId="77777777" w:rsidR="00E63077" w:rsidRPr="00E63077" w:rsidRDefault="00E63077" w:rsidP="00E63077">
      <w:pPr>
        <w:shd w:val="clear" w:color="auto" w:fill="FFFFFF"/>
        <w:outlineLvl w:val="1"/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Слайд 12. Спасибо за внимание</w:t>
      </w:r>
    </w:p>
    <w:p w14:paraId="60762439" w14:textId="3A4D78FA" w:rsidR="003E1AAB" w:rsidRPr="006A10C6" w:rsidRDefault="00E63077" w:rsidP="006A10C6">
      <w:pPr>
        <w:shd w:val="clear" w:color="auto" w:fill="FFFFFF"/>
        <w:rPr>
          <w:rFonts w:ascii="Segoe UI" w:eastAsia="Times New Roman" w:hAnsi="Segoe UI" w:cs="Segoe UI"/>
          <w:color w:val="0F1115"/>
          <w:kern w:val="0"/>
          <w:szCs w:val="28"/>
          <w:lang w:val="ru-DE"/>
          <w14:ligatures w14:val="none"/>
        </w:rPr>
      </w:pPr>
      <w:r w:rsidRPr="00E63077">
        <w:rPr>
          <w:rFonts w:ascii="Segoe UI" w:eastAsia="Times New Roman" w:hAnsi="Segoe UI" w:cs="Segoe UI"/>
          <w:b/>
          <w:bCs/>
          <w:color w:val="0F1115"/>
          <w:kern w:val="0"/>
          <w:szCs w:val="28"/>
          <w:lang w:val="ru-DE"/>
          <w14:ligatures w14:val="none"/>
        </w:rPr>
        <w:t>Спасибо за внимание</w:t>
      </w:r>
    </w:p>
    <w:sectPr w:rsidR="003E1AAB" w:rsidRPr="006A10C6" w:rsidSect="000C70D6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D7926"/>
    <w:multiLevelType w:val="multilevel"/>
    <w:tmpl w:val="D2CEB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4250B2"/>
    <w:multiLevelType w:val="multilevel"/>
    <w:tmpl w:val="1BC6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6307C9"/>
    <w:multiLevelType w:val="multilevel"/>
    <w:tmpl w:val="C6A65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D055EA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8533FDE"/>
    <w:multiLevelType w:val="multilevel"/>
    <w:tmpl w:val="F42CF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8A1E25"/>
    <w:multiLevelType w:val="hybridMultilevel"/>
    <w:tmpl w:val="32846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970392">
    <w:abstractNumId w:val="3"/>
  </w:num>
  <w:num w:numId="2" w16cid:durableId="546644524">
    <w:abstractNumId w:val="4"/>
  </w:num>
  <w:num w:numId="3" w16cid:durableId="192615102">
    <w:abstractNumId w:val="0"/>
  </w:num>
  <w:num w:numId="4" w16cid:durableId="1573200118">
    <w:abstractNumId w:val="2"/>
  </w:num>
  <w:num w:numId="5" w16cid:durableId="1927768886">
    <w:abstractNumId w:val="1"/>
  </w:num>
  <w:num w:numId="6" w16cid:durableId="2388340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077"/>
    <w:rsid w:val="000020F6"/>
    <w:rsid w:val="000662DF"/>
    <w:rsid w:val="00085CF8"/>
    <w:rsid w:val="000A6806"/>
    <w:rsid w:val="000B4762"/>
    <w:rsid w:val="000C70D6"/>
    <w:rsid w:val="00123883"/>
    <w:rsid w:val="00140909"/>
    <w:rsid w:val="00154097"/>
    <w:rsid w:val="00164A7A"/>
    <w:rsid w:val="002023D1"/>
    <w:rsid w:val="002154BA"/>
    <w:rsid w:val="00222BFE"/>
    <w:rsid w:val="00257787"/>
    <w:rsid w:val="002C1663"/>
    <w:rsid w:val="002C3051"/>
    <w:rsid w:val="002D668D"/>
    <w:rsid w:val="0030146A"/>
    <w:rsid w:val="003468E8"/>
    <w:rsid w:val="0039337B"/>
    <w:rsid w:val="00396C8A"/>
    <w:rsid w:val="00396EA8"/>
    <w:rsid w:val="003B0973"/>
    <w:rsid w:val="003B1D28"/>
    <w:rsid w:val="003C30FF"/>
    <w:rsid w:val="003C6C28"/>
    <w:rsid w:val="003E1AAB"/>
    <w:rsid w:val="004279EE"/>
    <w:rsid w:val="00482C53"/>
    <w:rsid w:val="00492FA8"/>
    <w:rsid w:val="004A2586"/>
    <w:rsid w:val="0050123B"/>
    <w:rsid w:val="005414DC"/>
    <w:rsid w:val="006619BE"/>
    <w:rsid w:val="006720F8"/>
    <w:rsid w:val="006A10C6"/>
    <w:rsid w:val="006F030F"/>
    <w:rsid w:val="00741E09"/>
    <w:rsid w:val="0074207A"/>
    <w:rsid w:val="00743806"/>
    <w:rsid w:val="00753F1E"/>
    <w:rsid w:val="0079103D"/>
    <w:rsid w:val="007B4585"/>
    <w:rsid w:val="008029B4"/>
    <w:rsid w:val="0084203F"/>
    <w:rsid w:val="0085337D"/>
    <w:rsid w:val="008A5F4C"/>
    <w:rsid w:val="008B14A0"/>
    <w:rsid w:val="008D22B5"/>
    <w:rsid w:val="00910FBB"/>
    <w:rsid w:val="009409C8"/>
    <w:rsid w:val="00953A96"/>
    <w:rsid w:val="0097428F"/>
    <w:rsid w:val="00981343"/>
    <w:rsid w:val="00982960"/>
    <w:rsid w:val="00997378"/>
    <w:rsid w:val="009A3502"/>
    <w:rsid w:val="009B5571"/>
    <w:rsid w:val="00A23541"/>
    <w:rsid w:val="00A818E5"/>
    <w:rsid w:val="00AA0B9C"/>
    <w:rsid w:val="00B172DC"/>
    <w:rsid w:val="00B74F4A"/>
    <w:rsid w:val="00C10917"/>
    <w:rsid w:val="00C31456"/>
    <w:rsid w:val="00C35670"/>
    <w:rsid w:val="00CC4CC5"/>
    <w:rsid w:val="00CC4CC8"/>
    <w:rsid w:val="00CC5D69"/>
    <w:rsid w:val="00CF34A9"/>
    <w:rsid w:val="00D61F6E"/>
    <w:rsid w:val="00DA4A01"/>
    <w:rsid w:val="00DC086D"/>
    <w:rsid w:val="00E52620"/>
    <w:rsid w:val="00E63077"/>
    <w:rsid w:val="00E76F41"/>
    <w:rsid w:val="00F222B2"/>
    <w:rsid w:val="00F43DFB"/>
    <w:rsid w:val="00F76D43"/>
    <w:rsid w:val="00F940B3"/>
    <w:rsid w:val="00F97C7B"/>
    <w:rsid w:val="00FE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97712"/>
  <w15:chartTrackingRefBased/>
  <w15:docId w15:val="{710AA5A2-A7C1-0C4D-BAC7-69DAA03E9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2620"/>
    <w:pPr>
      <w:spacing w:line="360" w:lineRule="auto"/>
      <w:jc w:val="both"/>
    </w:pPr>
    <w:rPr>
      <w:rFonts w:ascii="Times New Roman" w:eastAsiaTheme="minorEastAsia" w:hAnsi="Times New Roman"/>
      <w:color w:val="000000" w:themeColor="text1"/>
      <w:sz w:val="28"/>
      <w:szCs w:val="22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982960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630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5571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5571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307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307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307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307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307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Проект"/>
    <w:basedOn w:val="1"/>
    <w:qFormat/>
    <w:rsid w:val="00982960"/>
    <w:pPr>
      <w:jc w:val="center"/>
    </w:pPr>
    <w:rPr>
      <w:rFonts w:ascii="Times New Roman" w:hAnsi="Times New Roman" w:cs="Times New Roman"/>
      <w:color w:val="000000" w:themeColor="text1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9829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4">
    <w:name w:val="Текст проекта"/>
    <w:basedOn w:val="a5"/>
    <w:qFormat/>
    <w:rsid w:val="00982960"/>
    <w:pPr>
      <w:spacing w:after="0"/>
    </w:pPr>
    <w:rPr>
      <w:sz w:val="22"/>
    </w:rPr>
  </w:style>
  <w:style w:type="paragraph" w:styleId="a5">
    <w:name w:val="Body Text"/>
    <w:basedOn w:val="a"/>
    <w:link w:val="a6"/>
    <w:uiPriority w:val="99"/>
    <w:semiHidden/>
    <w:unhideWhenUsed/>
    <w:rsid w:val="0098296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982960"/>
  </w:style>
  <w:style w:type="paragraph" w:styleId="11">
    <w:name w:val="toc 1"/>
    <w:basedOn w:val="a"/>
    <w:next w:val="a"/>
    <w:autoRedefine/>
    <w:uiPriority w:val="39"/>
    <w:unhideWhenUsed/>
    <w:rsid w:val="004279EE"/>
    <w:pPr>
      <w:spacing w:before="120" w:after="120"/>
    </w:pPr>
    <w:rPr>
      <w:rFonts w:eastAsia="Times New Roman" w:cstheme="minorHAnsi"/>
      <w:bCs/>
      <w:caps/>
      <w:szCs w:val="20"/>
      <w:lang w:val="ru-DE"/>
    </w:rPr>
  </w:style>
  <w:style w:type="paragraph" w:customStyle="1" w:styleId="a7">
    <w:name w:val="Глава"/>
    <w:basedOn w:val="1"/>
    <w:qFormat/>
    <w:rsid w:val="00492FA8"/>
    <w:pPr>
      <w:jc w:val="center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paragraph" w:customStyle="1" w:styleId="a8">
    <w:name w:val="Параграф"/>
    <w:basedOn w:val="3"/>
    <w:next w:val="a"/>
    <w:qFormat/>
    <w:rsid w:val="009B5571"/>
    <w:pPr>
      <w:jc w:val="center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5571"/>
    <w:rPr>
      <w:rFonts w:asciiTheme="majorHAnsi" w:eastAsiaTheme="majorEastAsia" w:hAnsiTheme="majorHAnsi" w:cstheme="majorBidi"/>
      <w:color w:val="1F3763" w:themeColor="accent1" w:themeShade="7F"/>
      <w:lang w:val="ru-RU"/>
    </w:rPr>
  </w:style>
  <w:style w:type="paragraph" w:customStyle="1" w:styleId="a9">
    <w:name w:val="подпараграф"/>
    <w:basedOn w:val="4"/>
    <w:next w:val="a"/>
    <w:qFormat/>
    <w:rsid w:val="009B5571"/>
    <w:rPr>
      <w:rFonts w:ascii="Times New Roman" w:hAnsi="Times New Roman" w:cs="Times New Roman"/>
      <w:b/>
      <w:i w:val="0"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rsid w:val="009B5571"/>
    <w:rPr>
      <w:rFonts w:asciiTheme="majorHAnsi" w:eastAsiaTheme="majorEastAsia" w:hAnsiTheme="majorHAnsi" w:cstheme="majorBidi"/>
      <w:i/>
      <w:iCs/>
      <w:color w:val="2F5496" w:themeColor="accent1" w:themeShade="BF"/>
      <w:sz w:val="28"/>
      <w:szCs w:val="22"/>
      <w:lang w:val="ru-RU"/>
    </w:rPr>
  </w:style>
  <w:style w:type="paragraph" w:customStyle="1" w:styleId="aa">
    <w:name w:val="огл"/>
    <w:basedOn w:val="21"/>
    <w:qFormat/>
    <w:rsid w:val="00257787"/>
    <w:pPr>
      <w:spacing w:after="0"/>
      <w:ind w:left="240"/>
    </w:pPr>
    <w:rPr>
      <w:rFonts w:eastAsia="Times New Roman" w:cstheme="minorHAnsi"/>
      <w:smallCaps/>
      <w:szCs w:val="20"/>
    </w:rPr>
  </w:style>
  <w:style w:type="paragraph" w:styleId="21">
    <w:name w:val="toc 2"/>
    <w:basedOn w:val="a"/>
    <w:next w:val="a"/>
    <w:autoRedefine/>
    <w:uiPriority w:val="39"/>
    <w:semiHidden/>
    <w:unhideWhenUsed/>
    <w:rsid w:val="00257787"/>
    <w:pPr>
      <w:spacing w:after="100"/>
      <w:ind w:left="280"/>
    </w:pPr>
  </w:style>
  <w:style w:type="paragraph" w:customStyle="1" w:styleId="ab">
    <w:name w:val="Текст прш"/>
    <w:basedOn w:val="a5"/>
    <w:next w:val="a5"/>
    <w:qFormat/>
    <w:rsid w:val="00492FA8"/>
    <w:pPr>
      <w:spacing w:after="0"/>
    </w:pPr>
    <w:rPr>
      <w:rFonts w:eastAsia="Times New Roman" w:cs="Times New Roman"/>
      <w:sz w:val="24"/>
      <w:szCs w:val="24"/>
    </w:rPr>
  </w:style>
  <w:style w:type="paragraph" w:customStyle="1" w:styleId="12">
    <w:name w:val="Глава1"/>
    <w:basedOn w:val="a"/>
    <w:autoRedefine/>
    <w:qFormat/>
    <w:rsid w:val="00396C8A"/>
    <w:pPr>
      <w:ind w:firstLine="709"/>
      <w:jc w:val="center"/>
    </w:pPr>
    <w:rPr>
      <w:rFonts w:eastAsiaTheme="minorHAnsi" w:cs="Times New Roman"/>
      <w:b/>
      <w:bCs/>
      <w:color w:val="auto"/>
      <w:kern w:val="0"/>
      <w:szCs w:val="28"/>
      <w:lang w:eastAsia="en-US"/>
      <w14:ligatures w14:val="none"/>
    </w:rPr>
  </w:style>
  <w:style w:type="paragraph" w:customStyle="1" w:styleId="ac">
    <w:name w:val="Параграф да"/>
    <w:basedOn w:val="a8"/>
    <w:next w:val="a"/>
    <w:qFormat/>
    <w:rsid w:val="00123883"/>
    <w:pPr>
      <w:ind w:left="1416"/>
      <w:jc w:val="left"/>
    </w:pPr>
  </w:style>
  <w:style w:type="paragraph" w:styleId="ad">
    <w:name w:val="Subtitle"/>
    <w:basedOn w:val="a"/>
    <w:next w:val="a"/>
    <w:link w:val="ae"/>
    <w:uiPriority w:val="11"/>
    <w:qFormat/>
    <w:rsid w:val="00123883"/>
    <w:pPr>
      <w:numPr>
        <w:ilvl w:val="1"/>
      </w:numPr>
      <w:spacing w:after="160"/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ae">
    <w:name w:val="Подзаголовок Знак"/>
    <w:basedOn w:val="a0"/>
    <w:link w:val="ad"/>
    <w:uiPriority w:val="11"/>
    <w:rsid w:val="00123883"/>
    <w:rPr>
      <w:rFonts w:eastAsiaTheme="minorEastAsia"/>
      <w:color w:val="5A5A5A" w:themeColor="text1" w:themeTint="A5"/>
      <w:spacing w:val="15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E630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63077"/>
    <w:rPr>
      <w:rFonts w:eastAsiaTheme="majorEastAsia" w:cstheme="majorBidi"/>
      <w:color w:val="2F5496" w:themeColor="accent1" w:themeShade="BF"/>
      <w:sz w:val="28"/>
      <w:szCs w:val="22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63077"/>
    <w:rPr>
      <w:rFonts w:eastAsiaTheme="majorEastAsia" w:cstheme="majorBidi"/>
      <w:i/>
      <w:iCs/>
      <w:color w:val="595959" w:themeColor="text1" w:themeTint="A6"/>
      <w:sz w:val="28"/>
      <w:szCs w:val="22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63077"/>
    <w:rPr>
      <w:rFonts w:eastAsiaTheme="majorEastAsia" w:cstheme="majorBidi"/>
      <w:color w:val="595959" w:themeColor="text1" w:themeTint="A6"/>
      <w:sz w:val="28"/>
      <w:szCs w:val="22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63077"/>
    <w:rPr>
      <w:rFonts w:eastAsiaTheme="majorEastAsia" w:cstheme="majorBidi"/>
      <w:i/>
      <w:iCs/>
      <w:color w:val="272727" w:themeColor="text1" w:themeTint="D8"/>
      <w:sz w:val="28"/>
      <w:szCs w:val="22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63077"/>
    <w:rPr>
      <w:rFonts w:eastAsiaTheme="majorEastAsia" w:cstheme="majorBidi"/>
      <w:color w:val="272727" w:themeColor="text1" w:themeTint="D8"/>
      <w:sz w:val="28"/>
      <w:szCs w:val="22"/>
      <w:lang w:val="ru-RU" w:eastAsia="ru-RU"/>
    </w:rPr>
  </w:style>
  <w:style w:type="paragraph" w:styleId="af">
    <w:name w:val="Title"/>
    <w:basedOn w:val="a"/>
    <w:next w:val="a"/>
    <w:link w:val="af0"/>
    <w:uiPriority w:val="10"/>
    <w:qFormat/>
    <w:rsid w:val="00E63077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0">
    <w:name w:val="Заголовок Знак"/>
    <w:basedOn w:val="a0"/>
    <w:link w:val="af"/>
    <w:uiPriority w:val="10"/>
    <w:rsid w:val="00E63077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22">
    <w:name w:val="Quote"/>
    <w:basedOn w:val="a"/>
    <w:next w:val="a"/>
    <w:link w:val="23"/>
    <w:uiPriority w:val="29"/>
    <w:qFormat/>
    <w:rsid w:val="00E6307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E63077"/>
    <w:rPr>
      <w:rFonts w:ascii="Times New Roman" w:eastAsiaTheme="minorEastAsia" w:hAnsi="Times New Roman"/>
      <w:i/>
      <w:iCs/>
      <w:color w:val="404040" w:themeColor="text1" w:themeTint="BF"/>
      <w:sz w:val="28"/>
      <w:szCs w:val="22"/>
      <w:lang w:val="ru-RU" w:eastAsia="ru-RU"/>
    </w:rPr>
  </w:style>
  <w:style w:type="paragraph" w:styleId="af1">
    <w:name w:val="List Paragraph"/>
    <w:basedOn w:val="a"/>
    <w:uiPriority w:val="34"/>
    <w:qFormat/>
    <w:rsid w:val="00E63077"/>
    <w:pPr>
      <w:ind w:left="720"/>
      <w:contextualSpacing/>
    </w:pPr>
  </w:style>
  <w:style w:type="character" w:styleId="af2">
    <w:name w:val="Intense Emphasis"/>
    <w:basedOn w:val="a0"/>
    <w:uiPriority w:val="21"/>
    <w:qFormat/>
    <w:rsid w:val="00E63077"/>
    <w:rPr>
      <w:i/>
      <w:iCs/>
      <w:color w:val="2F5496" w:themeColor="accent1" w:themeShade="BF"/>
    </w:rPr>
  </w:style>
  <w:style w:type="paragraph" w:styleId="af3">
    <w:name w:val="Intense Quote"/>
    <w:basedOn w:val="a"/>
    <w:next w:val="a"/>
    <w:link w:val="af4"/>
    <w:uiPriority w:val="30"/>
    <w:qFormat/>
    <w:rsid w:val="00E630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4">
    <w:name w:val="Выделенная цитата Знак"/>
    <w:basedOn w:val="a0"/>
    <w:link w:val="af3"/>
    <w:uiPriority w:val="30"/>
    <w:rsid w:val="00E63077"/>
    <w:rPr>
      <w:rFonts w:ascii="Times New Roman" w:eastAsiaTheme="minorEastAsia" w:hAnsi="Times New Roman"/>
      <w:i/>
      <w:iCs/>
      <w:color w:val="2F5496" w:themeColor="accent1" w:themeShade="BF"/>
      <w:sz w:val="28"/>
      <w:szCs w:val="22"/>
      <w:lang w:val="ru-RU" w:eastAsia="ru-RU"/>
    </w:rPr>
  </w:style>
  <w:style w:type="character" w:styleId="af5">
    <w:name w:val="Intense Reference"/>
    <w:basedOn w:val="a0"/>
    <w:uiPriority w:val="32"/>
    <w:qFormat/>
    <w:rsid w:val="00E63077"/>
    <w:rPr>
      <w:b/>
      <w:bCs/>
      <w:smallCaps/>
      <w:color w:val="2F5496" w:themeColor="accent1" w:themeShade="BF"/>
      <w:spacing w:val="5"/>
    </w:rPr>
  </w:style>
  <w:style w:type="paragraph" w:customStyle="1" w:styleId="ds-markdown-paragraph">
    <w:name w:val="ds-markdown-paragraph"/>
    <w:basedOn w:val="a"/>
    <w:rsid w:val="00E6307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kern w:val="0"/>
      <w:sz w:val="24"/>
      <w:szCs w:val="24"/>
      <w:lang w:val="ru-DE"/>
      <w14:ligatures w14:val="none"/>
    </w:rPr>
  </w:style>
  <w:style w:type="character" w:styleId="af6">
    <w:name w:val="Emphasis"/>
    <w:basedOn w:val="a0"/>
    <w:uiPriority w:val="20"/>
    <w:qFormat/>
    <w:rsid w:val="00E63077"/>
    <w:rPr>
      <w:i/>
      <w:iCs/>
    </w:rPr>
  </w:style>
  <w:style w:type="character" w:styleId="af7">
    <w:name w:val="Strong"/>
    <w:basedOn w:val="a0"/>
    <w:uiPriority w:val="22"/>
    <w:qFormat/>
    <w:rsid w:val="00E630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Бровкина</dc:creator>
  <cp:keywords/>
  <dc:description/>
  <cp:lastModifiedBy>Екатерина Бровкина</cp:lastModifiedBy>
  <cp:revision>3</cp:revision>
  <dcterms:created xsi:type="dcterms:W3CDTF">2026-06-08T20:45:00Z</dcterms:created>
  <dcterms:modified xsi:type="dcterms:W3CDTF">2026-06-14T11:01:00Z</dcterms:modified>
</cp:coreProperties>
</file>